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C5" w:rsidRDefault="00894740">
      <w:r>
        <w:t>Hallo mensen,</w:t>
      </w:r>
    </w:p>
    <w:p w:rsidR="00894740" w:rsidRDefault="00894740"/>
    <w:p w:rsidR="00894740" w:rsidRDefault="00B33807">
      <w:r>
        <w:t>Hierbij enkele</w:t>
      </w:r>
      <w:r w:rsidR="00894740">
        <w:t xml:space="preserve"> aanwezigen </w:t>
      </w:r>
      <w:r>
        <w:t xml:space="preserve">voor </w:t>
      </w:r>
      <w:r w:rsidR="00894740">
        <w:t xml:space="preserve">de opdracht </w:t>
      </w:r>
      <w:r>
        <w:t xml:space="preserve">“service graad berekenen” </w:t>
      </w:r>
      <w:r w:rsidR="00894740">
        <w:t xml:space="preserve">uit wikiwijs </w:t>
      </w:r>
      <w:hyperlink r:id="rId5" w:anchor="!page-5301072" w:history="1">
        <w:r w:rsidR="00894740">
          <w:rPr>
            <w:rStyle w:val="Hyperlink"/>
          </w:rPr>
          <w:t>https://maken.wikiwijs.nl/144990#!page-5301072</w:t>
        </w:r>
      </w:hyperlink>
      <w:r w:rsidR="00894740">
        <w:t xml:space="preserve"> </w:t>
      </w:r>
      <w:r>
        <w:t xml:space="preserve">in </w:t>
      </w:r>
      <w:bookmarkStart w:id="0" w:name="_GoBack"/>
      <w:bookmarkEnd w:id="0"/>
      <w:r w:rsidR="00894740">
        <w:t>het te maken werkboek “</w:t>
      </w:r>
      <w:r w:rsidR="00894740" w:rsidRPr="00E40972">
        <w:rPr>
          <w:color w:val="FF0000"/>
        </w:rPr>
        <w:t>Voorraden aanvullen opdrachten in bewerkbare tekstfile</w:t>
      </w:r>
      <w:r w:rsidR="00894740">
        <w:t>” uitgelegd.</w:t>
      </w:r>
      <w:r w:rsidR="00E40972">
        <w:t xml:space="preserve"> Dit moet je downloaden, uitwerken en inleveren in de elo/Cum Laude.</w:t>
      </w:r>
      <w:r w:rsidR="00894740">
        <w:t xml:space="preserve"> Hetzelfde boekje staat er ook in pdf-formaat en er is een leerboek. Dat laatste heb ik voor het gemak bij het maken van de opdrachten vo</w:t>
      </w:r>
      <w:r w:rsidR="00E40972">
        <w:t>or iedereen laten uitprinten. (Voor</w:t>
      </w:r>
      <w:r w:rsidR="00894740">
        <w:t xml:space="preserve"> hen die het nog niet hebben kunnen er een bij mij afhalen)</w:t>
      </w:r>
      <w:r w:rsidR="003A143D">
        <w:t>.</w:t>
      </w:r>
    </w:p>
    <w:p w:rsidR="003A143D" w:rsidRDefault="003A143D"/>
    <w:p w:rsidR="003A143D" w:rsidRDefault="003A143D">
      <w:r>
        <w:t>Het gaat over opdracht 3 op pagina 15 en die ziet er als volgt uit:</w:t>
      </w:r>
    </w:p>
    <w:p w:rsidR="003A143D" w:rsidRDefault="003A143D"/>
    <w:p w:rsidR="003A143D" w:rsidRPr="00543B8F" w:rsidRDefault="003A143D" w:rsidP="003A143D">
      <w:pPr>
        <w:pStyle w:val="Lijstalinea"/>
        <w:numPr>
          <w:ilvl w:val="0"/>
          <w:numId w:val="1"/>
        </w:numPr>
        <w:tabs>
          <w:tab w:val="left" w:pos="2772"/>
          <w:tab w:val="left" w:pos="2773"/>
        </w:tabs>
        <w:spacing w:before="1" w:line="280" w:lineRule="auto"/>
        <w:ind w:left="2772" w:right="188"/>
        <w:rPr>
          <w:sz w:val="18"/>
          <w:lang w:val="nl-NL"/>
        </w:rPr>
      </w:pPr>
      <w:r w:rsidRPr="00543B8F">
        <w:rPr>
          <w:w w:val="105"/>
          <w:sz w:val="18"/>
          <w:lang w:val="nl-NL"/>
        </w:rPr>
        <w:t>Bepaal aan de hand van de volgende gegevens de optimale servicegraad voor een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winkel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met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een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gemiddeld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margepercentage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van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22%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van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de</w:t>
      </w:r>
      <w:r w:rsidRPr="00543B8F">
        <w:rPr>
          <w:spacing w:val="12"/>
          <w:w w:val="105"/>
          <w:sz w:val="18"/>
          <w:lang w:val="nl-NL"/>
        </w:rPr>
        <w:t xml:space="preserve"> </w:t>
      </w:r>
      <w:r w:rsidRPr="00543B8F">
        <w:rPr>
          <w:w w:val="105"/>
          <w:sz w:val="18"/>
          <w:lang w:val="nl-NL"/>
        </w:rPr>
        <w:t>omzet.</w:t>
      </w:r>
    </w:p>
    <w:p w:rsidR="003A143D" w:rsidRPr="00543B8F" w:rsidRDefault="003A143D" w:rsidP="003A143D">
      <w:pPr>
        <w:pStyle w:val="Plattetekst"/>
        <w:spacing w:before="6"/>
        <w:rPr>
          <w:sz w:val="10"/>
          <w:lang w:val="nl-NL"/>
        </w:rPr>
      </w:pPr>
    </w:p>
    <w:tbl>
      <w:tblPr>
        <w:tblStyle w:val="TableNormal"/>
        <w:tblW w:w="0" w:type="auto"/>
        <w:tblInd w:w="2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3"/>
        <w:gridCol w:w="2173"/>
      </w:tblGrid>
      <w:tr w:rsidR="003A143D" w:rsidRPr="00543B8F" w:rsidTr="00A76A13">
        <w:trPr>
          <w:trHeight w:val="440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78"/>
              <w:rPr>
                <w:sz w:val="18"/>
                <w:lang w:val="nl-NL"/>
              </w:rPr>
            </w:pPr>
            <w:r w:rsidRPr="00543B8F">
              <w:rPr>
                <w:w w:val="110"/>
                <w:sz w:val="18"/>
                <w:lang w:val="nl-NL"/>
              </w:rPr>
              <w:t>Omzet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78"/>
              <w:rPr>
                <w:sz w:val="18"/>
                <w:lang w:val="nl-NL"/>
              </w:rPr>
            </w:pPr>
            <w:r w:rsidRPr="00543B8F">
              <w:rPr>
                <w:w w:val="105"/>
                <w:sz w:val="18"/>
                <w:lang w:val="nl-NL"/>
              </w:rPr>
              <w:t>Voorraadkosten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78"/>
              <w:rPr>
                <w:sz w:val="18"/>
                <w:lang w:val="nl-NL"/>
              </w:rPr>
            </w:pPr>
            <w:r w:rsidRPr="00543B8F">
              <w:rPr>
                <w:w w:val="105"/>
                <w:sz w:val="18"/>
                <w:lang w:val="nl-NL"/>
              </w:rPr>
              <w:t>Servicegraad</w:t>
            </w:r>
          </w:p>
        </w:tc>
      </w:tr>
      <w:tr w:rsidR="003A143D" w:rsidRPr="00543B8F" w:rsidTr="00A76A13">
        <w:trPr>
          <w:trHeight w:val="44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550.000,-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12.000,-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w w:val="120"/>
                <w:sz w:val="18"/>
                <w:lang w:val="nl-NL"/>
              </w:rPr>
              <w:t>85%</w:t>
            </w:r>
          </w:p>
        </w:tc>
      </w:tr>
      <w:tr w:rsidR="003A143D" w:rsidRPr="00543B8F" w:rsidTr="00A76A13">
        <w:trPr>
          <w:trHeight w:val="44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600.000,-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18.000,-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w w:val="120"/>
                <w:sz w:val="18"/>
                <w:lang w:val="nl-NL"/>
              </w:rPr>
              <w:t>86%</w:t>
            </w:r>
          </w:p>
        </w:tc>
      </w:tr>
      <w:tr w:rsidR="003A143D" w:rsidRPr="00543B8F" w:rsidTr="00A76A13">
        <w:trPr>
          <w:trHeight w:val="44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700.000,-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25.000,-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w w:val="120"/>
                <w:sz w:val="18"/>
                <w:lang w:val="nl-NL"/>
              </w:rPr>
              <w:t>87%</w:t>
            </w:r>
          </w:p>
        </w:tc>
      </w:tr>
      <w:tr w:rsidR="003A143D" w:rsidRPr="00543B8F" w:rsidTr="00A76A13">
        <w:trPr>
          <w:trHeight w:val="44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820.000,-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30.000,-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w w:val="120"/>
                <w:sz w:val="18"/>
                <w:lang w:val="nl-NL"/>
              </w:rPr>
              <w:t>90%</w:t>
            </w:r>
          </w:p>
        </w:tc>
      </w:tr>
      <w:tr w:rsidR="003A143D" w:rsidRPr="00543B8F" w:rsidTr="00A76A13">
        <w:trPr>
          <w:trHeight w:val="44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860.000,-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42.000,-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w w:val="120"/>
                <w:sz w:val="18"/>
                <w:lang w:val="nl-NL"/>
              </w:rPr>
              <w:t>95%</w:t>
            </w:r>
          </w:p>
        </w:tc>
      </w:tr>
      <w:tr w:rsidR="003A143D" w:rsidRPr="00543B8F" w:rsidTr="00A76A13">
        <w:trPr>
          <w:trHeight w:val="440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880.000,-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rFonts w:ascii="Arial" w:hAnsi="Arial"/>
                <w:w w:val="115"/>
                <w:sz w:val="18"/>
                <w:lang w:val="nl-NL"/>
              </w:rPr>
              <w:t xml:space="preserve">€ </w:t>
            </w:r>
            <w:r w:rsidRPr="00543B8F">
              <w:rPr>
                <w:w w:val="115"/>
                <w:sz w:val="18"/>
                <w:lang w:val="nl-NL"/>
              </w:rPr>
              <w:t>52.000,-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143D" w:rsidRPr="00543B8F" w:rsidRDefault="003A143D" w:rsidP="00A76A13">
            <w:pPr>
              <w:pStyle w:val="TableParagraph"/>
              <w:spacing w:before="83"/>
              <w:rPr>
                <w:sz w:val="18"/>
                <w:lang w:val="nl-NL"/>
              </w:rPr>
            </w:pPr>
            <w:r w:rsidRPr="00543B8F">
              <w:rPr>
                <w:w w:val="120"/>
                <w:sz w:val="18"/>
                <w:lang w:val="nl-NL"/>
              </w:rPr>
              <w:t>97%</w:t>
            </w:r>
          </w:p>
        </w:tc>
      </w:tr>
    </w:tbl>
    <w:p w:rsidR="003A143D" w:rsidRPr="00543B8F" w:rsidRDefault="003A143D" w:rsidP="003A143D">
      <w:pPr>
        <w:pStyle w:val="Plattetekst"/>
        <w:spacing w:before="4"/>
        <w:rPr>
          <w:sz w:val="28"/>
          <w:lang w:val="nl-NL"/>
        </w:rPr>
      </w:pPr>
    </w:p>
    <w:p w:rsidR="003A143D" w:rsidRDefault="003A143D">
      <w:r>
        <w:t>Uit gelegd is hoe bereken je de omzetverhoging om een maximale servicegraad te bereiken</w:t>
      </w:r>
    </w:p>
    <w:p w:rsidR="003A143D" w:rsidRDefault="004A736F">
      <w:r>
        <w:t>Stap 1:</w:t>
      </w:r>
    </w:p>
    <w:p w:rsidR="003A143D" w:rsidRDefault="0008718E">
      <w:r>
        <w:t>St</w:t>
      </w:r>
      <w:r w:rsidR="003A143D">
        <w:t>el je omzet gaat van €550.000 naar €600.000 dan is de omzetstijging €50.000. Aangezien we een gemiddeld margepercentage van 22% hebben zal de brutowinst dus ook gaan stijgen met:</w:t>
      </w:r>
    </w:p>
    <w:p w:rsidR="003A143D" w:rsidRDefault="003A143D">
      <w:pPr>
        <w:rPr>
          <w:b/>
          <w:i/>
        </w:rPr>
      </w:pPr>
      <w:r w:rsidRPr="004A736F">
        <w:rPr>
          <w:b/>
          <w:i/>
        </w:rPr>
        <w:t xml:space="preserve">€50.000 x 22% = €50.000*0.22= €11.000 </w:t>
      </w:r>
    </w:p>
    <w:p w:rsidR="004A736F" w:rsidRPr="004A736F" w:rsidRDefault="004A736F">
      <w:pPr>
        <w:rPr>
          <w:b/>
          <w:i/>
        </w:rPr>
      </w:pPr>
    </w:p>
    <w:p w:rsidR="004A736F" w:rsidRDefault="004A736F">
      <w:r>
        <w:t>Stap 2:</w:t>
      </w:r>
    </w:p>
    <w:p w:rsidR="003A143D" w:rsidRDefault="003A143D">
      <w:r>
        <w:t>Aangezien je voorraadkosten van €12.000 naar €18.000 stijgen</w:t>
      </w:r>
      <w:r w:rsidR="00BC6F66">
        <w:t>,</w:t>
      </w:r>
      <w:r>
        <w:t xml:space="preserve"> is dit een stijging van €6.000</w:t>
      </w:r>
      <w:r w:rsidR="00BC6F66">
        <w:t>.</w:t>
      </w:r>
    </w:p>
    <w:p w:rsidR="004A736F" w:rsidRDefault="004A736F">
      <w:pPr>
        <w:rPr>
          <w:b/>
        </w:rPr>
      </w:pPr>
      <w:r>
        <w:t>De b</w:t>
      </w:r>
      <w:r w:rsidR="00BC6F66">
        <w:t>rutowinststijging -/- voorraadkosten stijging</w:t>
      </w:r>
      <w:r>
        <w:t>, wordt dan als volgt</w:t>
      </w:r>
      <w:r w:rsidRPr="004A736F">
        <w:rPr>
          <w:b/>
        </w:rPr>
        <w:t>:</w:t>
      </w:r>
    </w:p>
    <w:p w:rsidR="004A736F" w:rsidRDefault="00BC6F66">
      <w:r w:rsidRPr="004A736F">
        <w:rPr>
          <w:b/>
          <w:i/>
        </w:rPr>
        <w:t>€11.000 -/- €6.000 = €5.000</w:t>
      </w:r>
      <w:r>
        <w:t xml:space="preserve"> </w:t>
      </w:r>
    </w:p>
    <w:p w:rsidR="004A736F" w:rsidRDefault="004A736F">
      <w:r>
        <w:t xml:space="preserve">Dit is </w:t>
      </w:r>
      <w:r w:rsidR="00BC6F66">
        <w:t xml:space="preserve">positief, dus doen. </w:t>
      </w:r>
    </w:p>
    <w:p w:rsidR="00BC6F66" w:rsidRDefault="00BC6F66">
      <w:r w:rsidRPr="004A736F">
        <w:rPr>
          <w:u w:val="single"/>
        </w:rPr>
        <w:t xml:space="preserve">Want je verdient €11.000 </w:t>
      </w:r>
      <w:r w:rsidR="004A736F">
        <w:rPr>
          <w:u w:val="single"/>
        </w:rPr>
        <w:t>bruto meer, dan dat de</w:t>
      </w:r>
      <w:r w:rsidRPr="004A736F">
        <w:rPr>
          <w:u w:val="single"/>
        </w:rPr>
        <w:t xml:space="preserve"> kosten </w:t>
      </w:r>
      <w:r w:rsidR="004A736F">
        <w:rPr>
          <w:u w:val="single"/>
        </w:rPr>
        <w:t xml:space="preserve">stijgen met </w:t>
      </w:r>
      <w:r w:rsidRPr="004A736F">
        <w:rPr>
          <w:u w:val="single"/>
        </w:rPr>
        <w:t>€6.000</w:t>
      </w:r>
      <w:r w:rsidR="0008718E">
        <w:rPr>
          <w:u w:val="single"/>
        </w:rPr>
        <w:t>, dus €5000 over.</w:t>
      </w:r>
    </w:p>
    <w:p w:rsidR="00BC6F66" w:rsidRDefault="00BC6F66"/>
    <w:p w:rsidR="00BC6F66" w:rsidRDefault="004A736F">
      <w:r>
        <w:t xml:space="preserve">Dit doe je voor elke stijging in de omzet. </w:t>
      </w:r>
      <w:r w:rsidR="00BC6F66">
        <w:t xml:space="preserve">Op het moment dat de voorraadkosten harder stijgen dan </w:t>
      </w:r>
      <w:r>
        <w:t xml:space="preserve">dat </w:t>
      </w:r>
      <w:r w:rsidR="00BC6F66">
        <w:t>de brutowinst</w:t>
      </w:r>
      <w:r>
        <w:t xml:space="preserve"> stijgt, dus als Extra </w:t>
      </w:r>
      <w:r w:rsidR="00BC6F66">
        <w:t xml:space="preserve">Brutowinst -/- stijging voorraadkosten negatief wordt, dan heb je bij de laatste positieve berekening de maximale servicegraad bereikt. Dus met die omzet is de maximale servicegraad voor de klant </w:t>
      </w:r>
      <w:r w:rsidR="00E56A57">
        <w:t xml:space="preserve">en het bedrijf </w:t>
      </w:r>
      <w:r w:rsidR="00BC6F66">
        <w:t>bereikt.</w:t>
      </w:r>
    </w:p>
    <w:p w:rsidR="00BC6F66" w:rsidRDefault="00BC6F66"/>
    <w:p w:rsidR="00C95E0C" w:rsidRDefault="00C95E0C">
      <w:r>
        <w:t>Een berekening die je moet kunnen maken.</w:t>
      </w:r>
    </w:p>
    <w:p w:rsidR="009B7FA0" w:rsidRDefault="009B7FA0"/>
    <w:p w:rsidR="009B7FA0" w:rsidRDefault="009B7FA0"/>
    <w:p w:rsidR="009B7FA0" w:rsidRDefault="009B7FA0">
      <w:r>
        <w:t>Succes met je huiswerk.</w:t>
      </w:r>
    </w:p>
    <w:p w:rsidR="00BC6F66" w:rsidRDefault="00BC6F66"/>
    <w:sectPr w:rsidR="00BC6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840DC"/>
    <w:multiLevelType w:val="hybridMultilevel"/>
    <w:tmpl w:val="F8D6BDB4"/>
    <w:lvl w:ilvl="0" w:tplc="3D740CC0">
      <w:start w:val="1"/>
      <w:numFmt w:val="decimal"/>
      <w:lvlText w:val="%1"/>
      <w:lvlJc w:val="left"/>
      <w:pPr>
        <w:ind w:left="2789" w:hanging="397"/>
        <w:jc w:val="left"/>
      </w:pPr>
      <w:rPr>
        <w:rFonts w:ascii="Calibri" w:eastAsia="Calibri" w:hAnsi="Calibri" w:cs="Calibri" w:hint="default"/>
        <w:w w:val="109"/>
        <w:sz w:val="18"/>
        <w:szCs w:val="18"/>
      </w:rPr>
    </w:lvl>
    <w:lvl w:ilvl="1" w:tplc="6194C916">
      <w:numFmt w:val="bullet"/>
      <w:lvlText w:val="•"/>
      <w:lvlJc w:val="left"/>
      <w:pPr>
        <w:ind w:left="3406" w:hanging="397"/>
      </w:pPr>
      <w:rPr>
        <w:rFonts w:hint="default"/>
      </w:rPr>
    </w:lvl>
    <w:lvl w:ilvl="2" w:tplc="C7D4AE44">
      <w:numFmt w:val="bullet"/>
      <w:lvlText w:val="•"/>
      <w:lvlJc w:val="left"/>
      <w:pPr>
        <w:ind w:left="4032" w:hanging="397"/>
      </w:pPr>
      <w:rPr>
        <w:rFonts w:hint="default"/>
      </w:rPr>
    </w:lvl>
    <w:lvl w:ilvl="3" w:tplc="09F421E8">
      <w:numFmt w:val="bullet"/>
      <w:lvlText w:val="•"/>
      <w:lvlJc w:val="left"/>
      <w:pPr>
        <w:ind w:left="4658" w:hanging="397"/>
      </w:pPr>
      <w:rPr>
        <w:rFonts w:hint="default"/>
      </w:rPr>
    </w:lvl>
    <w:lvl w:ilvl="4" w:tplc="2FAA0200">
      <w:numFmt w:val="bullet"/>
      <w:lvlText w:val="•"/>
      <w:lvlJc w:val="left"/>
      <w:pPr>
        <w:ind w:left="5284" w:hanging="397"/>
      </w:pPr>
      <w:rPr>
        <w:rFonts w:hint="default"/>
      </w:rPr>
    </w:lvl>
    <w:lvl w:ilvl="5" w:tplc="0CA8DA14">
      <w:numFmt w:val="bullet"/>
      <w:lvlText w:val="•"/>
      <w:lvlJc w:val="left"/>
      <w:pPr>
        <w:ind w:left="5910" w:hanging="397"/>
      </w:pPr>
      <w:rPr>
        <w:rFonts w:hint="default"/>
      </w:rPr>
    </w:lvl>
    <w:lvl w:ilvl="6" w:tplc="D9F421C8">
      <w:numFmt w:val="bullet"/>
      <w:lvlText w:val="•"/>
      <w:lvlJc w:val="left"/>
      <w:pPr>
        <w:ind w:left="6536" w:hanging="397"/>
      </w:pPr>
      <w:rPr>
        <w:rFonts w:hint="default"/>
      </w:rPr>
    </w:lvl>
    <w:lvl w:ilvl="7" w:tplc="4358F14C">
      <w:numFmt w:val="bullet"/>
      <w:lvlText w:val="•"/>
      <w:lvlJc w:val="left"/>
      <w:pPr>
        <w:ind w:left="7162" w:hanging="397"/>
      </w:pPr>
      <w:rPr>
        <w:rFonts w:hint="default"/>
      </w:rPr>
    </w:lvl>
    <w:lvl w:ilvl="8" w:tplc="A5E83F9A">
      <w:numFmt w:val="bullet"/>
      <w:lvlText w:val="•"/>
      <w:lvlJc w:val="left"/>
      <w:pPr>
        <w:ind w:left="7788" w:hanging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40"/>
    <w:rsid w:val="0008718E"/>
    <w:rsid w:val="001D2024"/>
    <w:rsid w:val="003A143D"/>
    <w:rsid w:val="004A736F"/>
    <w:rsid w:val="008805AF"/>
    <w:rsid w:val="00894740"/>
    <w:rsid w:val="009B7FA0"/>
    <w:rsid w:val="00B33807"/>
    <w:rsid w:val="00B71B58"/>
    <w:rsid w:val="00BC6F66"/>
    <w:rsid w:val="00C95E0C"/>
    <w:rsid w:val="00D87D20"/>
    <w:rsid w:val="00E40972"/>
    <w:rsid w:val="00E56A57"/>
    <w:rsid w:val="00F21AC9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AFB4"/>
  <w15:chartTrackingRefBased/>
  <w15:docId w15:val="{7B810009-A21B-4AA7-9AE7-33684FFB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94740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A143D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3A143D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A143D"/>
    <w:rPr>
      <w:rFonts w:ascii="Calibri" w:eastAsia="Calibri" w:hAnsi="Calibri" w:cs="Calibri"/>
      <w:sz w:val="18"/>
      <w:szCs w:val="18"/>
      <w:lang w:val="en-US"/>
    </w:rPr>
  </w:style>
  <w:style w:type="paragraph" w:styleId="Lijstalinea">
    <w:name w:val="List Paragraph"/>
    <w:basedOn w:val="Standaard"/>
    <w:uiPriority w:val="1"/>
    <w:qFormat/>
    <w:rsid w:val="003A143D"/>
    <w:pPr>
      <w:widowControl w:val="0"/>
      <w:autoSpaceDE w:val="0"/>
      <w:autoSpaceDN w:val="0"/>
      <w:ind w:left="2772" w:hanging="397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ableParagraph">
    <w:name w:val="Table Paragraph"/>
    <w:basedOn w:val="Standaard"/>
    <w:uiPriority w:val="1"/>
    <w:qFormat/>
    <w:rsid w:val="003A143D"/>
    <w:pPr>
      <w:widowControl w:val="0"/>
      <w:autoSpaceDE w:val="0"/>
      <w:autoSpaceDN w:val="0"/>
      <w:ind w:left="155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ken.wikiwijs.nl/144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Géraar de Jong</dc:creator>
  <cp:keywords/>
  <dc:description/>
  <cp:lastModifiedBy>Géraar de Jong</cp:lastModifiedBy>
  <cp:revision>2</cp:revision>
  <dcterms:created xsi:type="dcterms:W3CDTF">2020-01-29T10:46:00Z</dcterms:created>
  <dcterms:modified xsi:type="dcterms:W3CDTF">2020-01-29T10:46:00Z</dcterms:modified>
</cp:coreProperties>
</file>